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0762-8k_saratoga.htm"/>
      <w:bookmarkStart w:id="1" w:name="ksea03007628k_saratoga"/>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UNITED STATES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AND EXCHANGE COMMISSION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w:t>
      </w:r>
      <w:bookmarkStart w:id="2" w:name="xdx_900_edei--DocumentType_c20260805__20"/>
      <w:bookmarkEnd w:id="2"/>
      <w:r>
        <w:rPr>
          <w:rFonts w:ascii="Times New Roman;Times;Serif" w:hAnsi="Times New Roman;Times;Serif"/>
          <w:b/>
          <w:i w:val="false"/>
          <w:caps w:val="false"/>
          <w:smallCaps w:val="false"/>
          <w:sz w:val="20"/>
        </w:rPr>
        <w:t xml:space="preserve">8-K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2_edei--EntityRegistrantName_c2026"/>
      <w:bookmarkEnd w:id="4"/>
      <w:r>
        <w:rPr>
          <w:rFonts w:ascii="Times New Roman;Times;Serif" w:hAnsi="Times New Roman;Times;Serif"/>
          <w:b/>
          <w:i w:val="false"/>
          <w:caps w:val="false"/>
          <w:smallCaps w:val="false"/>
          <w:sz w:val="20"/>
        </w:rPr>
        <w:t xml:space="preserve">SARATOGA INVESTMENT CORP.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6345" w:type="dxa"/>
        <w:jc w:val="left"/>
        <w:tblInd w:w="0" w:type="dxa"/>
        <w:tblLayout w:type="fixed"/>
        <w:tblCellMar>
          <w:top w:w="0" w:type="dxa"/>
          <w:left w:w="0" w:type="dxa"/>
          <w:bottom w:w="28" w:type="dxa"/>
          <w:right w:w="0" w:type="dxa"/>
        </w:tblCellMar>
      </w:tblPr>
      <w:tblGrid>
        <w:gridCol w:w="2360"/>
        <w:gridCol w:w="60"/>
        <w:gridCol w:w="2300"/>
        <w:gridCol w:w="60"/>
        <w:gridCol w:w="1565"/>
      </w:tblGrid>
      <w:tr>
        <w:trPr/>
        <w:tc>
          <w:tcPr>
            <w:tcW w:w="236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5" w:name="xdx_907_edei--EntityIncorporationStateCo"/>
            <w:bookmarkEnd w:id="5"/>
            <w:r>
              <w:rPr>
                <w:rFonts w:ascii="Times New Roman;Times;Serif" w:hAnsi="Times New Roman;Times;Serif"/>
                <w:b/>
                <w:sz w:val="20"/>
              </w:rPr>
              <w:t>Maryland</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60805"/>
            <w:bookmarkEnd w:id="6"/>
            <w:r>
              <w:rPr>
                <w:rFonts w:ascii="Times New Roman;Times;Serif" w:hAnsi="Times New Roman;Times;Serif"/>
                <w:b/>
                <w:sz w:val="20"/>
              </w:rPr>
              <w:t>814-00732</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bookmarkStart w:id="7" w:name="xdx_90E_edei--EntityTaxIdentificationNum"/>
            <w:bookmarkEnd w:id="7"/>
            <w:r>
              <w:rPr>
                <w:rFonts w:ascii="Times New Roman;Times;Serif" w:hAnsi="Times New Roman;Times;Serif"/>
                <w:b/>
                <w:sz w:val="20"/>
              </w:rPr>
              <w:t>20-8700615</w:t>
            </w:r>
          </w:p>
        </w:tc>
      </w:tr>
      <w:tr>
        <w:trPr/>
        <w:tc>
          <w:tcPr>
            <w:tcW w:w="236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28" w:type="dxa"/>
          <w:right w:w="0" w:type="dxa"/>
        </w:tblCellMar>
      </w:tblPr>
      <w:tblGrid>
        <w:gridCol w:w="4070"/>
        <w:gridCol w:w="60"/>
        <w:gridCol w:w="1145"/>
      </w:tblGrid>
      <w:tr>
        <w:trPr/>
        <w:tc>
          <w:tcPr>
            <w:tcW w:w="4070"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535 Madison Avenue</w:t>
            </w:r>
          </w:p>
          <w:p>
            <w:pPr>
              <w:pStyle w:val="TableContents"/>
              <w:bidi w:val="0"/>
              <w:spacing w:before="0" w:after="0"/>
              <w:jc w:val="center"/>
              <w:rPr>
                <w:rFonts w:ascii="Times New Roman;Times;Serif" w:hAnsi="Times New Roman;Times;Serif"/>
                <w:b/>
                <w:i w:val="false"/>
                <w:caps w:val="false"/>
                <w:smallCaps w:val="false"/>
                <w:sz w:val="20"/>
              </w:rPr>
            </w:pPr>
            <w:bookmarkStart w:id="9" w:name="xdx_901_edei--EntityAddressCityOrTown_c2"/>
            <w:bookmarkEnd w:id="9"/>
            <w:r>
              <w:rPr>
                <w:rFonts w:ascii="Times New Roman;Times;Serif" w:hAnsi="Times New Roman;Times;Serif"/>
                <w:b/>
                <w:i w:val="false"/>
                <w:caps w:val="false"/>
                <w:smallCaps w:val="false"/>
                <w:sz w:val="20"/>
              </w:rPr>
              <w:t xml:space="preserve">New York, </w:t>
            </w:r>
            <w:bookmarkStart w:id="10" w:name="xdx_90D_edei--EntityAddressStateOrProvin"/>
            <w:bookmarkEnd w:id="10"/>
            <w:r>
              <w:rPr>
                <w:rFonts w:ascii="Times New Roman;Times;Serif" w:hAnsi="Times New Roman;Times;Serif"/>
                <w:b/>
                <w:i w:val="false"/>
                <w:caps w:val="false"/>
                <w:smallCaps w:val="false"/>
                <w:sz w:val="20"/>
              </w:rPr>
              <w:t>New York</w:t>
            </w:r>
          </w:p>
        </w:tc>
        <w:tc>
          <w:tcPr>
            <w:tcW w:w="60" w:type="dxa"/>
            <w:tcBorders/>
            <w:tcMar>
              <w:bottom w:w="0" w:type="dxa"/>
            </w:tcMar>
            <w:vAlign w:val="center"/>
          </w:tcPr>
          <w:p>
            <w:pPr>
              <w:pStyle w:val="TableContents"/>
              <w:bidi w:val="0"/>
              <w:spacing w:before="0" w:after="283"/>
              <w:jc w:val="center"/>
              <w:rPr/>
            </w:pPr>
            <w:r>
              <w:rPr/>
              <w:t> </w:t>
            </w:r>
          </w:p>
        </w:tc>
        <w:tc>
          <w:tcPr>
            <w:tcW w:w="1145" w:type="dxa"/>
            <w:tcBorders>
              <w:bottom w:val="single" w:sz="12" w:space="0" w:color="000000"/>
            </w:tcBorders>
            <w:vAlign w:val="center"/>
          </w:tcPr>
          <w:p>
            <w:pPr>
              <w:pStyle w:val="TableContents"/>
              <w:bidi w:val="0"/>
              <w:spacing w:before="0" w:after="0"/>
              <w:jc w:val="center"/>
              <w:rPr>
                <w:rFonts w:ascii="Times New Roman;Times;Serif" w:hAnsi="Times New Roman;Times;Serif"/>
                <w:b/>
                <w:i w:val="false"/>
                <w:caps w:val="false"/>
                <w:smallCaps w:val="false"/>
                <w:sz w:val="20"/>
              </w:rPr>
            </w:pPr>
            <w:bookmarkStart w:id="11" w:name="xdx_904_edei--EntityAddressPostalZipCode"/>
            <w:bookmarkEnd w:id="11"/>
            <w:r>
              <w:rPr>
                <w:rFonts w:ascii="Times New Roman;Times;Serif" w:hAnsi="Times New Roman;Times;Serif"/>
                <w:b/>
                <w:i w:val="false"/>
                <w:caps w:val="false"/>
                <w:smallCaps w:val="false"/>
                <w:sz w:val="20"/>
              </w:rPr>
              <w:t>10022</w:t>
            </w:r>
          </w:p>
        </w:tc>
      </w:tr>
      <w:tr>
        <w:trPr/>
        <w:tc>
          <w:tcPr>
            <w:tcW w:w="4070" w:type="dxa"/>
            <w:tcBorders/>
            <w:tcMar>
              <w:bottom w:w="0" w:type="dxa"/>
            </w:tcMar>
            <w:vAlign w:val="center"/>
          </w:tcPr>
          <w:p>
            <w:pPr>
              <w:pStyle w:val="TableContents"/>
              <w:bidi w:val="0"/>
              <w:spacing w:before="0" w:after="283"/>
              <w:jc w:val="center"/>
              <w:rPr>
                <w:b/>
              </w:rPr>
            </w:pPr>
            <w:r>
              <w:rPr>
                <w:b/>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145" w:type="dxa"/>
            <w:tcBorders/>
            <w:tcMar>
              <w:bottom w:w="0" w:type="dxa"/>
            </w:tcMar>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2" w:name="xdx_90D_edei--CityAreaCode_c20260805__20"/>
      <w:bookmarkEnd w:id="12"/>
      <w:r>
        <w:rPr>
          <w:rFonts w:ascii="Times New Roman;Times;Serif" w:hAnsi="Times New Roman;Times;Serif"/>
          <w:b/>
          <w:i w:val="false"/>
          <w:caps w:val="false"/>
          <w:smallCaps w:val="false"/>
          <w:sz w:val="20"/>
        </w:rPr>
        <w:t xml:space="preserve">212) </w:t>
      </w:r>
      <w:bookmarkStart w:id="13" w:name="xdx_90D_edei--LocalPhoneNumber_c20260805"/>
      <w:bookmarkEnd w:id="13"/>
      <w:r>
        <w:rPr>
          <w:rFonts w:ascii="Times New Roman;Times;Serif" w:hAnsi="Times New Roman;Times;Serif"/>
          <w:b/>
          <w:i w:val="false"/>
          <w:caps w:val="false"/>
          <w:smallCaps w:val="false"/>
          <w:sz w:val="20"/>
        </w:rPr>
        <w:t>906-7800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 Applicable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283"/>
              <w:jc w:val="left"/>
              <w:rPr/>
            </w:pPr>
            <w:bookmarkStart w:id="14" w:name="xdx_90C_edei--WrittenCommunications_c202"/>
            <w:bookmarkEnd w:id="14"/>
            <w:r>
              <w:rPr/>
              <w:t>☐</w:t>
            </w:r>
          </w:p>
        </w:tc>
        <w:tc>
          <w:tcPr>
            <w:tcW w:w="7340" w:type="dxa"/>
            <w:tcBorders/>
            <w:vAlign w:val="center"/>
          </w:tcPr>
          <w:p>
            <w:pPr>
              <w:pStyle w:val="TableContents"/>
              <w:bidi w:val="0"/>
              <w:spacing w:before="0" w:after="283"/>
              <w:jc w:val="left"/>
              <w:rPr>
                <w:sz w:val="20"/>
              </w:rPr>
            </w:pPr>
            <w:r>
              <w:rPr>
                <w:sz w:val="20"/>
              </w:rPr>
              <w:t xml:space="preserve">Written communications pursuant to Rule 425 under the Securities Act (17 CFR 230.425) </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3_edei--SolicitingMaterial_c202608"/>
            <w:bookmarkEnd w:id="15"/>
            <w:r>
              <w:rPr/>
              <w:t>☐</w:t>
            </w:r>
          </w:p>
        </w:tc>
        <w:tc>
          <w:tcPr>
            <w:tcW w:w="732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0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E_edei--PreCommencementIssuerTende"/>
            <w:bookmarkEnd w:id="17"/>
            <w:r>
              <w:rPr/>
              <w:t>☐</w:t>
            </w:r>
          </w:p>
        </w:tc>
        <w:tc>
          <w:tcPr>
            <w:tcW w:w="900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9090" w:type="dxa"/>
        <w:jc w:val="left"/>
        <w:tblInd w:w="0" w:type="dxa"/>
        <w:tblLayout w:type="fixed"/>
        <w:tblCellMar>
          <w:top w:w="0" w:type="dxa"/>
          <w:left w:w="0" w:type="dxa"/>
          <w:bottom w:w="28" w:type="dxa"/>
          <w:right w:w="0" w:type="dxa"/>
        </w:tblCellMar>
      </w:tblPr>
      <w:tblGrid>
        <w:gridCol w:w="3680"/>
        <w:gridCol w:w="60"/>
        <w:gridCol w:w="1580"/>
        <w:gridCol w:w="60"/>
        <w:gridCol w:w="3710"/>
      </w:tblGrid>
      <w:tr>
        <w:trPr/>
        <w:tc>
          <w:tcPr>
            <w:tcW w:w="3680"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12"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680" w:type="dxa"/>
            <w:tcBorders/>
            <w:shd w:fill="CCEEFF" w:val="clear"/>
            <w:tcMar>
              <w:bottom w:w="0" w:type="dxa"/>
            </w:tcMar>
            <w:vAlign w:val="center"/>
          </w:tcPr>
          <w:p>
            <w:pPr>
              <w:pStyle w:val="TableContents"/>
              <w:bidi w:val="0"/>
              <w:spacing w:before="0" w:after="283"/>
              <w:jc w:val="center"/>
              <w:rPr>
                <w:b/>
                <w:sz w:val="20"/>
              </w:rPr>
            </w:pPr>
            <w:bookmarkStart w:id="18" w:name="xdx_902_edei--Security12bTitle_c20260805"/>
            <w:bookmarkEnd w:id="18"/>
            <w:r>
              <w:rPr>
                <w:b/>
                <w:sz w:val="20"/>
              </w:rPr>
              <w:t>Common Stock, par value $0.001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center"/>
              <w:rPr>
                <w:b/>
                <w:sz w:val="20"/>
              </w:rPr>
            </w:pPr>
            <w:bookmarkStart w:id="19" w:name="xdx_900_edei--TradingSymbol_c20260805__2"/>
            <w:bookmarkEnd w:id="19"/>
            <w:r>
              <w:rPr>
                <w:b/>
                <w:sz w:val="20"/>
              </w:rPr>
              <w:t>SAR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b/>
                <w:sz w:val="20"/>
              </w:rPr>
            </w:pPr>
            <w:bookmarkStart w:id="20" w:name="xdx_908_edei--SecurityExchangeName_c2026"/>
            <w:bookmarkEnd w:id="20"/>
            <w:r>
              <w:rPr>
                <w:b/>
                <w:sz w:val="20"/>
              </w:rPr>
              <w:t>New York Stock Exchange</w:t>
            </w:r>
          </w:p>
        </w:tc>
      </w:tr>
      <w:tr>
        <w:trPr/>
        <w:tc>
          <w:tcPr>
            <w:tcW w:w="3680" w:type="dxa"/>
            <w:tcBorders/>
            <w:shd w:fill="FFFFFF" w:val="clear"/>
            <w:tcMar>
              <w:bottom w:w="0" w:type="dxa"/>
            </w:tcMar>
            <w:vAlign w:val="center"/>
          </w:tcPr>
          <w:p>
            <w:pPr>
              <w:pStyle w:val="TableContents"/>
              <w:bidi w:val="0"/>
              <w:spacing w:before="0" w:after="283"/>
              <w:jc w:val="center"/>
              <w:rPr>
                <w:b/>
                <w:sz w:val="20"/>
              </w:rPr>
            </w:pPr>
            <w:bookmarkStart w:id="21" w:name="xdx_900_edei--Security12bTitle_c20260805"/>
            <w:bookmarkEnd w:id="21"/>
            <w:r>
              <w:rPr>
                <w:b/>
                <w:sz w:val="20"/>
              </w:rPr>
              <w:t>6.00% Notes due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center"/>
              <w:rPr>
                <w:b/>
                <w:sz w:val="20"/>
              </w:rPr>
            </w:pPr>
            <w:bookmarkStart w:id="22" w:name="xdx_909_edei--TradingSymbol_c20260805__2"/>
            <w:bookmarkEnd w:id="22"/>
            <w:r>
              <w:rPr>
                <w:b/>
                <w:sz w:val="20"/>
              </w:rPr>
              <w:t>SAT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shd w:fill="FFFFFF" w:val="clear"/>
            <w:tcMar>
              <w:bottom w:w="0" w:type="dxa"/>
            </w:tcMar>
            <w:vAlign w:val="center"/>
          </w:tcPr>
          <w:p>
            <w:pPr>
              <w:pStyle w:val="TableContents"/>
              <w:bidi w:val="0"/>
              <w:spacing w:before="0" w:after="283"/>
              <w:jc w:val="center"/>
              <w:rPr>
                <w:b/>
                <w:sz w:val="20"/>
              </w:rPr>
            </w:pPr>
            <w:bookmarkStart w:id="23" w:name="xdx_908_edei--SecurityExchangeName_c2026"/>
            <w:bookmarkEnd w:id="23"/>
            <w:r>
              <w:rPr>
                <w:b/>
                <w:sz w:val="20"/>
              </w:rPr>
              <w:t>New York Stock Exchange</w:t>
            </w:r>
          </w:p>
        </w:tc>
      </w:tr>
      <w:tr>
        <w:trPr/>
        <w:tc>
          <w:tcPr>
            <w:tcW w:w="3680" w:type="dxa"/>
            <w:tcBorders/>
            <w:shd w:fill="CCEEFF" w:val="clear"/>
            <w:tcMar>
              <w:bottom w:w="0" w:type="dxa"/>
            </w:tcMar>
            <w:vAlign w:val="center"/>
          </w:tcPr>
          <w:p>
            <w:pPr>
              <w:pStyle w:val="TableContents"/>
              <w:bidi w:val="0"/>
              <w:spacing w:before="0" w:after="283"/>
              <w:jc w:val="center"/>
              <w:rPr>
                <w:b/>
                <w:sz w:val="20"/>
              </w:rPr>
            </w:pPr>
            <w:bookmarkStart w:id="24" w:name="xdx_90B_edei--Security12bTitle_c20260805"/>
            <w:bookmarkEnd w:id="24"/>
            <w:r>
              <w:rPr>
                <w:b/>
                <w:sz w:val="20"/>
              </w:rPr>
              <w:t>8.00% Notes due 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center"/>
              <w:rPr>
                <w:b/>
                <w:sz w:val="20"/>
              </w:rPr>
            </w:pPr>
            <w:bookmarkStart w:id="25" w:name="xdx_90C_edei--TradingSymbol_c20260805__2"/>
            <w:bookmarkEnd w:id="25"/>
            <w:r>
              <w:rPr>
                <w:b/>
                <w:sz w:val="20"/>
              </w:rPr>
              <w:t>SAJ</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b/>
                <w:sz w:val="20"/>
              </w:rPr>
            </w:pPr>
            <w:bookmarkStart w:id="26" w:name="xdx_900_edei--SecurityExchangeName_c2026"/>
            <w:bookmarkEnd w:id="26"/>
            <w:r>
              <w:rPr>
                <w:b/>
                <w:sz w:val="20"/>
              </w:rPr>
              <w:t>New York Stock Exchange</w:t>
            </w:r>
          </w:p>
        </w:tc>
      </w:tr>
      <w:tr>
        <w:trPr/>
        <w:tc>
          <w:tcPr>
            <w:tcW w:w="3680" w:type="dxa"/>
            <w:tcBorders/>
            <w:shd w:fill="FFFFFF" w:val="clear"/>
            <w:tcMar>
              <w:bottom w:w="0" w:type="dxa"/>
            </w:tcMar>
            <w:vAlign w:val="center"/>
          </w:tcPr>
          <w:p>
            <w:pPr>
              <w:pStyle w:val="TableContents"/>
              <w:bidi w:val="0"/>
              <w:spacing w:before="0" w:after="283"/>
              <w:jc w:val="center"/>
              <w:rPr>
                <w:b/>
                <w:sz w:val="20"/>
              </w:rPr>
            </w:pPr>
            <w:bookmarkStart w:id="27" w:name="xdx_90C_edei--Security12bTitle_c20260805"/>
            <w:bookmarkEnd w:id="27"/>
            <w:r>
              <w:rPr>
                <w:b/>
                <w:sz w:val="20"/>
              </w:rPr>
              <w:t>8.125% Notes due 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center"/>
              <w:rPr>
                <w:b/>
                <w:sz w:val="20"/>
              </w:rPr>
            </w:pPr>
            <w:bookmarkStart w:id="28" w:name="xdx_90A_edei--TradingSymbol_c20260805__2"/>
            <w:bookmarkEnd w:id="28"/>
            <w:r>
              <w:rPr>
                <w:b/>
                <w:sz w:val="20"/>
              </w:rPr>
              <w:t>SAY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shd w:fill="FFFFFF" w:val="clear"/>
            <w:tcMar>
              <w:bottom w:w="0" w:type="dxa"/>
            </w:tcMar>
            <w:vAlign w:val="center"/>
          </w:tcPr>
          <w:p>
            <w:pPr>
              <w:pStyle w:val="TableContents"/>
              <w:bidi w:val="0"/>
              <w:spacing w:before="0" w:after="283"/>
              <w:jc w:val="center"/>
              <w:rPr>
                <w:b/>
                <w:sz w:val="20"/>
              </w:rPr>
            </w:pPr>
            <w:bookmarkStart w:id="29" w:name="xdx_906_edei--SecurityExchangeName_c2026"/>
            <w:bookmarkEnd w:id="29"/>
            <w:r>
              <w:rPr>
                <w:b/>
                <w:sz w:val="20"/>
              </w:rPr>
              <w:t>New York Stock Exchange</w:t>
            </w:r>
          </w:p>
        </w:tc>
      </w:tr>
      <w:tr>
        <w:trPr/>
        <w:tc>
          <w:tcPr>
            <w:tcW w:w="3680" w:type="dxa"/>
            <w:tcBorders/>
            <w:shd w:fill="CCEEFF" w:val="clear"/>
            <w:tcMar>
              <w:bottom w:w="0" w:type="dxa"/>
            </w:tcMar>
            <w:vAlign w:val="center"/>
          </w:tcPr>
          <w:p>
            <w:pPr>
              <w:pStyle w:val="TableContents"/>
              <w:bidi w:val="0"/>
              <w:spacing w:before="0" w:after="283"/>
              <w:jc w:val="center"/>
              <w:rPr>
                <w:b/>
                <w:sz w:val="20"/>
              </w:rPr>
            </w:pPr>
            <w:bookmarkStart w:id="30" w:name="xdx_90B_edei--Security12bTitle_c20260805"/>
            <w:bookmarkEnd w:id="30"/>
            <w:r>
              <w:rPr>
                <w:b/>
                <w:sz w:val="20"/>
              </w:rPr>
              <w:t>8.50% Notes due 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80" w:type="dxa"/>
            <w:tcBorders/>
            <w:shd w:fill="CCEEFF" w:val="clear"/>
            <w:tcMar>
              <w:bottom w:w="0" w:type="dxa"/>
            </w:tcMar>
            <w:vAlign w:val="center"/>
          </w:tcPr>
          <w:p>
            <w:pPr>
              <w:pStyle w:val="TableContents"/>
              <w:bidi w:val="0"/>
              <w:spacing w:before="0" w:after="283"/>
              <w:jc w:val="center"/>
              <w:rPr>
                <w:b/>
                <w:sz w:val="20"/>
              </w:rPr>
            </w:pPr>
            <w:bookmarkStart w:id="31" w:name="xdx_904_edei--TradingSymbol_c20260805__2"/>
            <w:bookmarkEnd w:id="31"/>
            <w:r>
              <w:rPr>
                <w:b/>
                <w:sz w:val="20"/>
              </w:rPr>
              <w:t>SAZ</w:t>
            </w:r>
          </w:p>
        </w:tc>
        <w:tc>
          <w:tcPr>
            <w:tcW w:w="60" w:type="dxa"/>
            <w:tcBorders/>
            <w:shd w:fill="CCEEFF" w:val="clear"/>
            <w:tcMar>
              <w:bottom w:w="0" w:type="dxa"/>
            </w:tcMar>
            <w:vAlign w:val="center"/>
          </w:tcPr>
          <w:p>
            <w:pPr>
              <w:pStyle w:val="TableContents"/>
              <w:bidi w:val="0"/>
              <w:spacing w:before="0" w:after="283"/>
              <w:jc w:val="left"/>
              <w:rPr/>
            </w:pPr>
            <w:r>
              <w:rPr/>
              <w:t> </w:t>
            </w:r>
          </w:p>
        </w:tc>
        <w:tc>
          <w:tcPr>
            <w:tcW w:w="3710" w:type="dxa"/>
            <w:tcBorders/>
            <w:shd w:fill="CCEEFF" w:val="clear"/>
            <w:tcMar>
              <w:bottom w:w="0" w:type="dxa"/>
            </w:tcMar>
            <w:vAlign w:val="center"/>
          </w:tcPr>
          <w:p>
            <w:pPr>
              <w:pStyle w:val="TableContents"/>
              <w:bidi w:val="0"/>
              <w:spacing w:before="0" w:after="283"/>
              <w:jc w:val="center"/>
              <w:rPr>
                <w:b/>
                <w:sz w:val="20"/>
              </w:rPr>
            </w:pPr>
            <w:bookmarkStart w:id="32" w:name="xdx_90E_edei--SecurityExchangeName_c2026"/>
            <w:bookmarkEnd w:id="32"/>
            <w:r>
              <w:rPr>
                <w:b/>
                <w:sz w:val="20"/>
              </w:rPr>
              <w:t>New York Stock Exchange</w:t>
            </w:r>
          </w:p>
        </w:tc>
      </w:tr>
      <w:tr>
        <w:trPr/>
        <w:tc>
          <w:tcPr>
            <w:tcW w:w="3680" w:type="dxa"/>
            <w:tcBorders/>
            <w:shd w:fill="FFFFFF" w:val="clear"/>
            <w:tcMar>
              <w:bottom w:w="0" w:type="dxa"/>
            </w:tcMar>
            <w:vAlign w:val="center"/>
          </w:tcPr>
          <w:p>
            <w:pPr>
              <w:pStyle w:val="TableContents"/>
              <w:bidi w:val="0"/>
              <w:spacing w:before="0" w:after="283"/>
              <w:jc w:val="center"/>
              <w:rPr>
                <w:b/>
                <w:sz w:val="20"/>
              </w:rPr>
            </w:pPr>
            <w:bookmarkStart w:id="33" w:name="xdx_90E_edei--Security12bTitle_c20260805"/>
            <w:bookmarkEnd w:id="33"/>
            <w:r>
              <w:rPr>
                <w:b/>
                <w:sz w:val="20"/>
              </w:rPr>
              <w:t>7.50% Notes due 2031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80" w:type="dxa"/>
            <w:tcBorders/>
            <w:shd w:fill="FFFFFF" w:val="clear"/>
            <w:tcMar>
              <w:bottom w:w="0" w:type="dxa"/>
            </w:tcMar>
            <w:vAlign w:val="center"/>
          </w:tcPr>
          <w:p>
            <w:pPr>
              <w:pStyle w:val="TableContents"/>
              <w:bidi w:val="0"/>
              <w:spacing w:before="0" w:after="283"/>
              <w:jc w:val="center"/>
              <w:rPr>
                <w:b/>
                <w:sz w:val="20"/>
              </w:rPr>
            </w:pPr>
            <w:bookmarkStart w:id="34" w:name="xdx_90D_edei--TradingSymbol_c20260805__2"/>
            <w:bookmarkEnd w:id="34"/>
            <w:r>
              <w:rPr>
                <w:b/>
                <w:sz w:val="20"/>
              </w:rPr>
              <w:t>SAV</w:t>
            </w:r>
          </w:p>
        </w:tc>
        <w:tc>
          <w:tcPr>
            <w:tcW w:w="60" w:type="dxa"/>
            <w:tcBorders/>
            <w:shd w:fill="FFFFFF" w:val="clear"/>
            <w:tcMar>
              <w:bottom w:w="0" w:type="dxa"/>
            </w:tcMar>
            <w:vAlign w:val="center"/>
          </w:tcPr>
          <w:p>
            <w:pPr>
              <w:pStyle w:val="TableContents"/>
              <w:bidi w:val="0"/>
              <w:spacing w:before="0" w:after="283"/>
              <w:jc w:val="left"/>
              <w:rPr/>
            </w:pPr>
            <w:r>
              <w:rPr/>
              <w:t> </w:t>
            </w:r>
          </w:p>
        </w:tc>
        <w:tc>
          <w:tcPr>
            <w:tcW w:w="3710" w:type="dxa"/>
            <w:tcBorders/>
            <w:shd w:fill="FFFFFF" w:val="clear"/>
            <w:tcMar>
              <w:bottom w:w="0" w:type="dxa"/>
            </w:tcMar>
            <w:vAlign w:val="center"/>
          </w:tcPr>
          <w:p>
            <w:pPr>
              <w:pStyle w:val="TableContents"/>
              <w:bidi w:val="0"/>
              <w:spacing w:before="0" w:after="283"/>
              <w:jc w:val="center"/>
              <w:rPr>
                <w:b/>
                <w:sz w:val="20"/>
              </w:rPr>
            </w:pPr>
            <w:bookmarkStart w:id="35" w:name="xdx_90C_edei--SecurityExchangeName_c2026"/>
            <w:bookmarkEnd w:id="35"/>
            <w:r>
              <w:rPr>
                <w:b/>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36" w:name="xdx_90A_edei--EntityEmergingGrowthCompan"/>
      <w:bookmarkEnd w:id="3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5.02 - Departure of Directors or Certain Officers; Election of Directors; Appointment of Certain Officers; Compensatory Arrangements of Certain Officers.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the Board of Directors (the “Board”) of Saratoga Investment Corp. (the “Company”) increased the size of the Board from five to six members and appointed Scott E. Zoellner as a director of the Company for a term expiring at the Company’s 2027 annual meeting of stockholders, effective immediately. The Board also determined that Mr. Zoellner is not an “interested person” (as defined in Section 2(a)(19) of the Investment Company Act of 1940, as amended) of the Company and is independent in accordance with the NYSE rules. The Board appointed Mr. Zoellner to its audit committee, its compensation committee, and its nominating and corporate governance committee. There are no arrangements or understandings between Mr. Zoellner and any other persons pursuant to which he was selected as a director, nor is there any family relationship between Mr. Zoellner and any of the Company’s directors or executive officers. In addition, Mr. Zoellner is not a party to any current or proposed transaction between the Company and Mr. Zoellner or his immediate family members that would be required to be disclosed pursuant to Item 404(a) of Regulation 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Zoellner is a Partner and the Chief Operating and Financial Officer of Niobrara Capital, a technology-oriented middle market private equity firm. At Niobrara Mr. Zoellner serves on the investment committee, oversees the administrative and finance functions of the firm and leads all capital markets activities. Prior to 2025, Mr. Zoellner was a Partner at AEA Investors LP for 21 years, serving as Chief Operating Officer and Group Head of the Private Debt Group and a member of the Investment Committees for the firm’s junior capital and senior debt strategies. His responsibilities included serving as an observer on several portfolio company boards. In 2022 Mr. Zoellner was named Head of Capital Markets for AEA Investors’ private equity groups. Prior to AEA, Mr. Zoellner was a Managing Director in Leveraged Finance Investment Banking at Credit Suisse (now UBS). Mr. Zoellner received a B.A. in economics and political science from Trinity College and an M.B.A. from the NYU Stern School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Mr. Zoellner’s appointment to the Board, the Company and Mr. Zoellner entered into an indemnification agreement, a form of which is incorporated by reference as an exhibit to the Company’s annual report on Form 10-K filed with the Securities and Exchange Commission on May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8355" w:type="dxa"/>
        <w:jc w:val="left"/>
        <w:tblInd w:w="0" w:type="dxa"/>
        <w:tblLayout w:type="fixed"/>
        <w:tblCellMar>
          <w:top w:w="0" w:type="dxa"/>
          <w:left w:w="0" w:type="dxa"/>
          <w:bottom w:w="0" w:type="dxa"/>
          <w:right w:w="0" w:type="dxa"/>
        </w:tblCellMar>
      </w:tblPr>
      <w:tblGrid>
        <w:gridCol w:w="1760"/>
        <w:gridCol w:w="545"/>
        <w:gridCol w:w="6050"/>
      </w:tblGrid>
      <w:tr>
        <w:trPr/>
        <w:tc>
          <w:tcPr>
            <w:tcW w:w="1760" w:type="dxa"/>
            <w:tcBorders/>
            <w:vAlign w:val="center"/>
          </w:tcPr>
          <w:p>
            <w:pPr>
              <w:pStyle w:val="TableContents"/>
              <w:bidi w:val="0"/>
              <w:spacing w:before="0" w:after="283"/>
              <w:jc w:val="left"/>
              <w:rPr/>
            </w:pPr>
            <w:r>
              <w:rPr/>
              <w:t> </w:t>
            </w:r>
          </w:p>
        </w:tc>
        <w:tc>
          <w:tcPr>
            <w:tcW w:w="6595" w:type="dxa"/>
            <w:gridSpan w:val="2"/>
            <w:tcBorders/>
            <w:vAlign w:val="center"/>
          </w:tcPr>
          <w:p>
            <w:pPr>
              <w:pStyle w:val="TableContents"/>
              <w:bidi w:val="0"/>
              <w:spacing w:before="0" w:after="283"/>
              <w:jc w:val="left"/>
              <w:rPr>
                <w:sz w:val="20"/>
              </w:rPr>
            </w:pPr>
            <w:r>
              <w:rPr>
                <w:sz w:val="20"/>
              </w:rPr>
              <w:t>SARATOGA INVESTMENT CORP.</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6050" w:type="dxa"/>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283"/>
              <w:jc w:val="left"/>
              <w:rPr>
                <w:sz w:val="20"/>
              </w:rPr>
            </w:pPr>
            <w:r>
              <w:rPr>
                <w:sz w:val="20"/>
              </w:rPr>
              <w:t>Date: August 5, 2026</w:t>
            </w:r>
          </w:p>
        </w:tc>
        <w:tc>
          <w:tcPr>
            <w:tcW w:w="545" w:type="dxa"/>
            <w:tcBorders/>
            <w:vAlign w:val="center"/>
          </w:tcPr>
          <w:p>
            <w:pPr>
              <w:pStyle w:val="TableContents"/>
              <w:bidi w:val="0"/>
              <w:spacing w:before="0" w:after="283"/>
              <w:jc w:val="left"/>
              <w:rPr>
                <w:sz w:val="20"/>
              </w:rPr>
            </w:pPr>
            <w:r>
              <w:rPr>
                <w:sz w:val="20"/>
              </w:rPr>
              <w:t>By:</w:t>
            </w:r>
          </w:p>
        </w:tc>
        <w:tc>
          <w:tcPr>
            <w:tcW w:w="6050" w:type="dxa"/>
            <w:tcBorders>
              <w:bottom w:val="single" w:sz="12" w:space="0" w:color="000000"/>
            </w:tcBorders>
            <w:tcMar>
              <w:bottom w:w="28" w:type="dxa"/>
            </w:tcMar>
            <w:vAlign w:val="center"/>
          </w:tcPr>
          <w:p>
            <w:pPr>
              <w:pStyle w:val="TableContents"/>
              <w:bidi w:val="0"/>
              <w:spacing w:before="0" w:after="283"/>
              <w:jc w:val="left"/>
              <w:rPr>
                <w:sz w:val="20"/>
              </w:rPr>
            </w:pPr>
            <w:r>
              <w:rPr>
                <w:sz w:val="20"/>
              </w:rPr>
              <w:t>/s/ Henri J. Steenkamp</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6050" w:type="dxa"/>
            <w:tcBorders/>
            <w:vAlign w:val="center"/>
          </w:tcPr>
          <w:p>
            <w:pPr>
              <w:pStyle w:val="TableContents"/>
              <w:bidi w:val="0"/>
              <w:spacing w:before="0" w:after="283"/>
              <w:jc w:val="left"/>
              <w:rPr>
                <w:sz w:val="20"/>
              </w:rPr>
            </w:pPr>
            <w:r>
              <w:rPr>
                <w:sz w:val="20"/>
              </w:rPr>
              <w:t>Henri J. Steenkamp</w:t>
            </w:r>
          </w:p>
        </w:tc>
      </w:tr>
      <w:tr>
        <w:trPr/>
        <w:tc>
          <w:tcPr>
            <w:tcW w:w="17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6050" w:type="dxa"/>
            <w:tcBorders/>
            <w:vAlign w:val="center"/>
          </w:tcPr>
          <w:p>
            <w:pPr>
              <w:pStyle w:val="TableContents"/>
              <w:bidi w:val="0"/>
              <w:spacing w:before="0" w:after="283"/>
              <w:jc w:val="left"/>
              <w:rPr>
                <w:sz w:val="20"/>
              </w:rPr>
            </w:pPr>
            <w:r>
              <w:rPr>
                <w:sz w:val="20"/>
              </w:rPr>
              <w:t>Chief Financial Officer, Chief Compliance Officer, Treasurer and Secretary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829</Words>
  <Characters>4438</Characters>
  <CharactersWithSpaces>5277</CharactersWithSpaces>
  <Paragraphs>144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