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SARATOGA INVESTMENT CORP.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814-00732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20-8700615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center"/>
              <w:ind w:right="6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444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535 Madison Avenue</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4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2"/>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906-7800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09"/>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SAR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6.00% Notes due 2027</w:t>
            </w:r>
          </w:p>
        </w:tc>
        <w:tc>
          <w:tcPr>
            <w:tcW w:w="31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6"/>
              </w:rPr>
              <w:t>SAT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8.00% Notes due 2027</w:t>
            </w:r>
          </w:p>
        </w:tc>
        <w:tc>
          <w:tcPr>
            <w:tcW w:w="310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SAJ</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8.125% Notes due 2027</w:t>
            </w:r>
          </w:p>
        </w:tc>
        <w:tc>
          <w:tcPr>
            <w:tcW w:w="31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4"/>
              </w:rPr>
              <w:t>SAY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8.50% Notes due 2028</w:t>
            </w:r>
          </w:p>
        </w:tc>
        <w:tc>
          <w:tcPr>
            <w:tcW w:w="3100" w:type="dxa"/>
            <w:vAlign w:val="bottom"/>
            <w:gridSpan w:val="2"/>
            <w:shd w:val="clear" w:color="auto" w:fill="CCEEFF"/>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SAZ</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7.50% Notes due 2031</w:t>
            </w:r>
          </w:p>
        </w:tc>
        <w:tc>
          <w:tcPr>
            <w:tcW w:w="31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4"/>
              </w:rPr>
              <w:t>SAV</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July 30, 2021, Saratoga Investment Corp. (the “Company”) established an “at-the-market” offering (the “ATM Program”), pursuant to which the Company may sell, from time to time through the distribution agents, shares of the Company’s common stock, par value $0.001 per share (the “Shares”).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March 13, 2026, in connection with the effectiveness of the Company’s shelf registration statement on Form N-2 (333-292765) (the “Registration Statement”), the Company and Saratoga Investment Advisors, LLC (the “Adviser”) entered into amendment no. 5 (“Amendment No. 5”) to the equity distribution agreement (as amended, the “Equity Distribution Agreement”) with Lucid Capital Markets, LLC (“Lucid”), Ladenburg Thalmann &amp; Co. Inc. (“Ladenburg”), Compass Point Research &amp; Trading, LLC (“Compass Point”), and Raymond James &amp; Associates, Inc. (“Raymond James” and together with Lucid, Ladenburg, and Compass Point, the “Agents”). Amendment No. 5 was entered into by and among the Company, the Adviser and the Agents to, among other things, reflect the migration of the ATM Program to the Registration Statement from the Company's previous shelf registration statement on Form N-2 (File No. 333-269186).</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Further details regarding the Equity Distribution Agreement, as amended by Amendment No. 5, and the ATM Program are set forth in the Company’s prospectus supplement, dated March 13, 2026 (the “ATM Prospectus Supplement”), and the accompanying prospectus, dated March 11, 2026 (together with the ATM Prospectus Supplement, including, in each case, any information incorporated by reference therein, the “Prospectus”), filed by the Company with the Securities and Exchange Commission.</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foregoing description of Amendment No. 5 is not complete and is qualified in its entirety by reference to the full text of Amendment No. 5, which is attached hereto as Exhibit 10.1 and is incorporated herein by reference. A copy of the opinion of Eversheds Sutherland (US) LLP relating to the legality of the issuance and sale of the Shares pursuant to the Prospectus is attached as Exhibit 5.1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Shares, if any, will be issued pursuant to the Registration Statement and the Prospectus, as supplemented from time to time.</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Eversheds Sutherland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5" w:lineRule="exact"/>
        <w:rPr>
          <w:sz w:val="20"/>
          <w:szCs w:val="20"/>
          <w:color w:val="auto"/>
        </w:rPr>
      </w:pPr>
    </w:p>
    <w:p>
      <w:pPr>
        <w:jc w:val="both"/>
        <w:ind w:left="1140" w:hanging="1133"/>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No. 5, dated March 13, 2026, to Equity Distribution Agreement by and among Saratoga Investment Corp., Saratoga Investment Advisors, LLC, Lucid Capital Markets, LLC, Ladenburg Thalmann &amp; Co. Inc., Compass Point Research &amp; Trading, LLC, and 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Eversheds Sutherland (US) LLP (contained in Exhibit 5.1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SARATOGA INVESTMENT CORP.</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Henri J. Steenkamp</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Henri J. Steenkamp</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Chief Compliance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Eversheds Sutherland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4879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8790" cy="42862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700 Sixth Street, NW, Suite 700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Washington, DC 20001-3980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Saratoga Investment Corp., a Maryland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of the registration statement on Form N-2 (File No. 333-292765)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which Registration Statement was initially filed with the Commission on January 16, 2026 (as amended as of its most recent effective date, including the exhibits and schedules thereto, all documents incorporated or deemed to be incorporated into the Registration Statement by reference, any information contained in a prospectus supplement relating to the Shares (as defined below) subsequently filed with the Commission pursuant to Rule 424 under the Securities Act and deemed to be a part of the Registration Statement at the time of effectiveness pursuant to Rule 430B under the Securities Act, and any registration statement filed pursuant to Rule 462(b) under the Securities Act, is hereinafter referred to as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Registration Statement relates to the public offering of securities of the Company that may be offered by the Company from time to time as set forth in the prospectus dated as of March 11, 2026, which forms a part of the Registration Statement, together with the information incorporated or deemed to be incorporated therein by reference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as may be set forth from time to time in one or more supplements to the Base Prospectus.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opinion letter is rendered in connection with the issuance and sale, from time to time, of up to $300,000,000 in aggregate offering price of shares of the Company’s common stock,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as described in the prospectus supplement, dated as of March 13, 2026, relating to the Shares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included therein and the information incorporated or deemed to be incorporated by reference therein,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with the Commission pursuant to Rule 424 under the Securities Act, of which approximately $170.4 million in aggregate amount of Shares remain available for sale pursuant to the Distribution Agreement (as defined herein). The Shares are to be sold by the Company pursuant to the equity distribution agreement, dated as of July 30, 2021, and as amended on each of June 7, 2023 and July 10, 2023, by and among the Company and Saratoga Investment Advisors, LLC, a Delaware limited liability company (the “</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on the one hand, and Ladenburg Thalmann &amp; Co. Inc. (“</w:t>
      </w:r>
      <w:r>
        <w:rPr>
          <w:rFonts w:ascii="Times New Roman" w:cs="Times New Roman" w:eastAsia="Times New Roman" w:hAnsi="Times New Roman"/>
          <w:sz w:val="18"/>
          <w:szCs w:val="18"/>
          <w:b w:val="1"/>
          <w:bCs w:val="1"/>
          <w:i w:val="1"/>
          <w:iCs w:val="1"/>
          <w:color w:val="auto"/>
        </w:rPr>
        <w:t>Ladenburg</w:t>
      </w:r>
      <w:r>
        <w:rPr>
          <w:rFonts w:ascii="Times New Roman" w:cs="Times New Roman" w:eastAsia="Times New Roman" w:hAnsi="Times New Roman"/>
          <w:sz w:val="18"/>
          <w:szCs w:val="18"/>
          <w:color w:val="auto"/>
        </w:rPr>
        <w:t>”) and Compass Point Research &amp; Trading, LLC (“</w:t>
      </w:r>
      <w:r>
        <w:rPr>
          <w:rFonts w:ascii="Times New Roman" w:cs="Times New Roman" w:eastAsia="Times New Roman" w:hAnsi="Times New Roman"/>
          <w:sz w:val="18"/>
          <w:szCs w:val="18"/>
          <w:b w:val="1"/>
          <w:bCs w:val="1"/>
          <w:i w:val="1"/>
          <w:iCs w:val="1"/>
          <w:color w:val="auto"/>
        </w:rPr>
        <w:t>Compass Point</w:t>
      </w:r>
      <w:r>
        <w:rPr>
          <w:rFonts w:ascii="Times New Roman" w:cs="Times New Roman" w:eastAsia="Times New Roman" w:hAnsi="Times New Roman"/>
          <w:sz w:val="18"/>
          <w:szCs w:val="18"/>
          <w:color w:val="auto"/>
        </w:rPr>
        <w:t>”), as distribution agents thereunder, on the other hand, the amendment no. 3, dated as of July 19, 2023, to the equity distribution agreement by and among the Company and the Adviser, on the one hand, and Ladenburg, Compass Point, and Raymond James &amp; Associates, Inc. (“</w:t>
      </w:r>
      <w:r>
        <w:rPr>
          <w:rFonts w:ascii="Times New Roman" w:cs="Times New Roman" w:eastAsia="Times New Roman" w:hAnsi="Times New Roman"/>
          <w:sz w:val="18"/>
          <w:szCs w:val="18"/>
          <w:b w:val="1"/>
          <w:bCs w:val="1"/>
          <w:i w:val="1"/>
          <w:iCs w:val="1"/>
          <w:color w:val="auto"/>
        </w:rPr>
        <w:t>Raymond James</w:t>
      </w:r>
      <w:r>
        <w:rPr>
          <w:rFonts w:ascii="Times New Roman" w:cs="Times New Roman" w:eastAsia="Times New Roman" w:hAnsi="Times New Roman"/>
          <w:sz w:val="18"/>
          <w:szCs w:val="18"/>
          <w:color w:val="auto"/>
        </w:rPr>
        <w:t>”), as distribution agents thereunder, on the other hand, the amendment no. 4, dated as of May 15, 2024, to the equity distribution agreement by and among the Company and the Adviser, on the one hand, and Ladenburg, Compass Point, Raymond James, and Lucid Capital Markets, LLC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as distribution agents thereunder, on the other hand, and the amendment no. 5, dated as of March 13, 2026, to the equity distribution agreement by and among the Company and the Adviser, on the one hand, and Ladenburg, Compass Point, Raymond James, and Lucid, as distribution agents thereunder, on the other hand (collectively, the “</w:t>
      </w:r>
      <w:r>
        <w:rPr>
          <w:rFonts w:ascii="Times New Roman" w:cs="Times New Roman" w:eastAsia="Times New Roman" w:hAnsi="Times New Roman"/>
          <w:sz w:val="18"/>
          <w:szCs w:val="18"/>
          <w:b w:val="1"/>
          <w:bCs w:val="1"/>
          <w:i w:val="1"/>
          <w:iCs w:val="1"/>
          <w:color w:val="auto"/>
        </w:rPr>
        <w:t>Distribution Agreement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counsel to the Company, we have participated in the preparation of the Registration Statement and the Prospectus, and have examined the originals or copies, certified or otherwise identified to our satisfaction as being true copies, of the following:</w:t>
      </w:r>
    </w:p>
    <w:p>
      <w:pPr>
        <w:spacing w:after="0" w:line="162"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(i)</w:t>
        <w:tab/>
        <w:t>the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4879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8790" cy="42862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13,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304" w:lineRule="exact"/>
        <w:rPr>
          <w:sz w:val="20"/>
          <w:szCs w:val="20"/>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and the Articles of Amendment of the Company, certified as of a recent date by the State Department of Assessments and Taxation of the State of Maryland (the “</w:t>
      </w:r>
      <w:r>
        <w:rPr>
          <w:rFonts w:ascii="Times New Roman" w:cs="Times New Roman" w:eastAsia="Times New Roman" w:hAnsi="Times New Roman"/>
          <w:sz w:val="18"/>
          <w:szCs w:val="18"/>
          <w:b w:val="1"/>
          <w:bCs w:val="1"/>
          <w:i w:val="1"/>
          <w:iCs w:val="1"/>
          <w:color w:val="auto"/>
        </w:rPr>
        <w:t>SDAT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Amended and Restated Bylaws of the Company, certified as of the date hereof by an officer of the Company;</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issued by the SDAT as of the date hereof; and</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of the Board of Directors of the Company relating to, among other things: (a) the authorization and approval of the preparation and filing of the Registration Statement; (b) the authorization of the issuance, offer and sale of the Shares pursuant to the Registration Statement; and (c) the execution and delivery of the Distribution Agreement, certified as of the date hereof by an officer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such examination and our opinion expressed herein, we have assumed, without any independent investigation or verification,</w:t>
      </w:r>
    </w:p>
    <w:p>
      <w:pPr>
        <w:spacing w:after="0" w:line="27" w:lineRule="exact"/>
        <w:rPr>
          <w:sz w:val="20"/>
          <w:szCs w:val="20"/>
          <w:color w:val="auto"/>
        </w:rPr>
      </w:pPr>
    </w:p>
    <w:p>
      <w:pPr>
        <w:jc w:val="both"/>
        <w:ind w:firstLine="8"/>
        <w:spacing w:after="0" w:line="253" w:lineRule="auto"/>
        <w:tabs>
          <w:tab w:leader="none" w:pos="2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officers of the Company have been properly issued and that such certificates remain accurate as of the date of this letter, and (vi) the accuracy and completeness of all corporate records made available to us by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to certain matters of fact relevant to the opinion in this opinion letter, we have relied on certificates and/or representations of officers of the Company. We also have relied on certificates and confirmations of public officials. We have not independently established the facts or, in the case of certificates or confirmations of public officials, the other statements, so relied upon.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opinion set forth below is limited to the effect of the Maryland General Corporation Law, as in effect as of the date hereof, and we express no opinion as to the applicability or effect of any other laws of such jurisdiction or the laws of any other jurisdictions. Without limiting the preceding sentence, we express no opinion as to any state securities or broker-dealer laws or regulations thereunder relating to the offer, issuance or sale of the Shares. 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and in reliance thereon subject to the assumptions, limitations and qualifications set forth in this opinion letter, we are of the opinion that the Shares have been duly authorized for issuance and, when issued and delivered against payment thereof in accordance with the terms and conditions of the Distribution Agreement, the Shares will be validly issued, fully paid and non-assessable.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 expressed in this opinion letter is: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Company’s Current Report on Form 8-K, to be filed with the Commission on the date hereof for incorporation by reference in the Registration Statement and to the reference to our firm in the “Legal Matters” section in the Prospectus Supplement. We do not admit by giving this consent that we are in the category of persons whose consent is required under Section 7 of the Securities Act.</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EVERSHEDS SUTHERLAND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5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Capital Markets, LLC</w:t>
      </w:r>
    </w:p>
    <w:p>
      <w:pPr>
        <w:spacing w:after="0" w:line="192" w:lineRule="auto"/>
        <w:rPr>
          <w:sz w:val="20"/>
          <w:szCs w:val="20"/>
          <w:color w:val="auto"/>
        </w:rPr>
      </w:pPr>
      <w:r>
        <w:rPr>
          <w:rFonts w:ascii="Times New Roman" w:cs="Times New Roman" w:eastAsia="Times New Roman" w:hAnsi="Times New Roman"/>
          <w:sz w:val="18"/>
          <w:szCs w:val="18"/>
          <w:color w:val="auto"/>
        </w:rPr>
        <w:t>570 Lexington Ave,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w:t>
      </w: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640 Fifth Avenue,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Compass Point Research &amp; Trading,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1055 Thomas Jefferson Street NW, Suite 303, Washington, DC 20007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 33716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5, dated March 13, 2026 (the “</w:t>
      </w:r>
      <w:r>
        <w:rPr>
          <w:rFonts w:ascii="Times New Roman" w:cs="Times New Roman" w:eastAsia="Times New Roman" w:hAnsi="Times New Roman"/>
          <w:sz w:val="18"/>
          <w:szCs w:val="18"/>
          <w:i w:val="1"/>
          <w:iCs w:val="1"/>
          <w:u w:val="single" w:color="auto"/>
          <w:color w:val="auto"/>
        </w:rPr>
        <w:t>Amendment</w:t>
      </w:r>
      <w:r>
        <w:rPr>
          <w:rFonts w:ascii="Times New Roman" w:cs="Times New Roman" w:eastAsia="Times New Roman" w:hAnsi="Times New Roman"/>
          <w:sz w:val="18"/>
          <w:szCs w:val="18"/>
          <w:color w:val="auto"/>
        </w:rPr>
        <w:t>”), is to the Equity Distribution Agreement, dated July 30, 2021 (the “</w:t>
      </w:r>
      <w:r>
        <w:rPr>
          <w:rFonts w:ascii="Times New Roman" w:cs="Times New Roman" w:eastAsia="Times New Roman" w:hAnsi="Times New Roman"/>
          <w:sz w:val="18"/>
          <w:szCs w:val="18"/>
          <w:i w:val="1"/>
          <w:iCs w:val="1"/>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Distribution Agreement</w:t>
      </w:r>
      <w:r>
        <w:rPr>
          <w:rFonts w:ascii="Times New Roman" w:cs="Times New Roman" w:eastAsia="Times New Roman" w:hAnsi="Times New Roman"/>
          <w:sz w:val="18"/>
          <w:szCs w:val="18"/>
          <w:color w:val="auto"/>
        </w:rPr>
        <w:t>”), by and among Saratoga Investment Corp., a Maryland corporation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color w:val="auto"/>
        </w:rPr>
        <w:t>”), Saratoga Investments Advisors,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organized under the laws of the State of Delaware (the “</w:t>
      </w:r>
      <w:r>
        <w:rPr>
          <w:rFonts w:ascii="Times New Roman" w:cs="Times New Roman" w:eastAsia="Times New Roman" w:hAnsi="Times New Roman"/>
          <w:sz w:val="18"/>
          <w:szCs w:val="18"/>
          <w:i w:val="1"/>
          <w:iCs w:val="1"/>
          <w:u w:val="single" w:color="auto"/>
          <w:color w:val="auto"/>
        </w:rPr>
        <w:t>Adviser</w:t>
      </w:r>
      <w:r>
        <w:rPr>
          <w:rFonts w:ascii="Times New Roman" w:cs="Times New Roman" w:eastAsia="Times New Roman" w:hAnsi="Times New Roman"/>
          <w:sz w:val="18"/>
          <w:szCs w:val="18"/>
          <w:color w:val="auto"/>
        </w:rPr>
        <w:t>”), Lucid Capital Markets, LLC (“</w:t>
      </w:r>
      <w:r>
        <w:rPr>
          <w:rFonts w:ascii="Times New Roman" w:cs="Times New Roman" w:eastAsia="Times New Roman" w:hAnsi="Times New Roman"/>
          <w:sz w:val="18"/>
          <w:szCs w:val="18"/>
          <w:i w:val="1"/>
          <w:iCs w:val="1"/>
          <w:u w:val="single" w:color="auto"/>
          <w:color w:val="auto"/>
        </w:rPr>
        <w:t>Lucid</w:t>
      </w:r>
      <w:r>
        <w:rPr>
          <w:rFonts w:ascii="Times New Roman" w:cs="Times New Roman" w:eastAsia="Times New Roman" w:hAnsi="Times New Roman"/>
          <w:sz w:val="18"/>
          <w:szCs w:val="18"/>
          <w:color w:val="auto"/>
        </w:rPr>
        <w:t>”), Ladenburg Thalmann</w:t>
      </w:r>
    </w:p>
    <w:p>
      <w:pPr>
        <w:spacing w:after="0" w:line="1" w:lineRule="exact"/>
        <w:rPr>
          <w:sz w:val="20"/>
          <w:szCs w:val="20"/>
          <w:color w:val="auto"/>
        </w:rPr>
      </w:pPr>
    </w:p>
    <w:p>
      <w:pPr>
        <w:ind w:firstLine="8"/>
        <w:spacing w:after="0" w:line="260" w:lineRule="auto"/>
        <w:tabs>
          <w:tab w:leader="none" w:pos="1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 (“</w:t>
      </w:r>
      <w:r>
        <w:rPr>
          <w:rFonts w:ascii="Times New Roman" w:cs="Times New Roman" w:eastAsia="Times New Roman" w:hAnsi="Times New Roman"/>
          <w:sz w:val="18"/>
          <w:szCs w:val="18"/>
          <w:i w:val="1"/>
          <w:iCs w:val="1"/>
          <w:u w:val="single" w:color="auto"/>
          <w:color w:val="auto"/>
        </w:rPr>
        <w:t>Ladenburg</w:t>
      </w:r>
      <w:r>
        <w:rPr>
          <w:rFonts w:ascii="Times New Roman" w:cs="Times New Roman" w:eastAsia="Times New Roman" w:hAnsi="Times New Roman"/>
          <w:sz w:val="18"/>
          <w:szCs w:val="18"/>
          <w:color w:val="auto"/>
        </w:rPr>
        <w:t>”), Compass Point Research &amp; Trading, LLC (“</w:t>
      </w:r>
      <w:r>
        <w:rPr>
          <w:rFonts w:ascii="Times New Roman" w:cs="Times New Roman" w:eastAsia="Times New Roman" w:hAnsi="Times New Roman"/>
          <w:sz w:val="18"/>
          <w:szCs w:val="18"/>
          <w:i w:val="1"/>
          <w:iCs w:val="1"/>
          <w:u w:val="single" w:color="auto"/>
          <w:color w:val="auto"/>
        </w:rPr>
        <w:t>CPR</w:t>
      </w:r>
      <w:r>
        <w:rPr>
          <w:rFonts w:ascii="Times New Roman" w:cs="Times New Roman" w:eastAsia="Times New Roman" w:hAnsi="Times New Roman"/>
          <w:sz w:val="18"/>
          <w:szCs w:val="18"/>
          <w:color w:val="auto"/>
        </w:rPr>
        <w:t>”), and Raymond James &amp; Associates, Inc. (“</w:t>
      </w:r>
      <w:r>
        <w:rPr>
          <w:rFonts w:ascii="Times New Roman" w:cs="Times New Roman" w:eastAsia="Times New Roman" w:hAnsi="Times New Roman"/>
          <w:sz w:val="18"/>
          <w:szCs w:val="18"/>
          <w:i w:val="1"/>
          <w:iCs w:val="1"/>
          <w:u w:val="single" w:color="auto"/>
          <w:color w:val="auto"/>
        </w:rPr>
        <w:t>Raymond James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together with Lucid, Ladenburg and CPR, the “</w:t>
      </w:r>
      <w:r>
        <w:rPr>
          <w:rFonts w:ascii="Times New Roman" w:cs="Times New Roman" w:eastAsia="Times New Roman" w:hAnsi="Times New Roman"/>
          <w:sz w:val="18"/>
          <w:szCs w:val="18"/>
          <w:i w:val="1"/>
          <w:iCs w:val="1"/>
          <w:u w:val="single" w:color="auto"/>
          <w:color w:val="auto"/>
        </w:rPr>
        <w:t>Agents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the Adviser, and the Agents desire to amend the Equity Distribution Agreement to update the reference to the term “</w:t>
      </w:r>
      <w:r>
        <w:rPr>
          <w:rFonts w:ascii="Times New Roman" w:cs="Times New Roman" w:eastAsia="Times New Roman" w:hAnsi="Times New Roman"/>
          <w:sz w:val="18"/>
          <w:szCs w:val="18"/>
          <w:i w:val="1"/>
          <w:iCs w:val="1"/>
          <w:u w:val="single" w:color="auto"/>
          <w:color w:val="auto"/>
        </w:rPr>
        <w:t>Registration Statement</w:t>
      </w:r>
      <w:r>
        <w:rPr>
          <w:rFonts w:ascii="Times New Roman" w:cs="Times New Roman" w:eastAsia="Times New Roman" w:hAnsi="Times New Roman"/>
          <w:sz w:val="18"/>
          <w:szCs w:val="18"/>
          <w:color w:val="auto"/>
        </w:rPr>
        <w:t>” therein and to amend certain other terms therein.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in this Amendment and other good and valuable consideration, the receipt and sufficiency of which are hereby acknowledged, the parties to this Amendment, intending to be legally bound, hereby amend the Equity Distribution Agreement and agree as follows:</w:t>
      </w:r>
    </w:p>
    <w:p>
      <w:pPr>
        <w:spacing w:after="0" w:line="201" w:lineRule="exact"/>
        <w:rPr>
          <w:sz w:val="20"/>
          <w:szCs w:val="20"/>
          <w:color w:val="auto"/>
        </w:rPr>
      </w:pPr>
    </w:p>
    <w:p>
      <w:pPr>
        <w:ind w:left="980" w:right="2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hereof, all references to the “</w:t>
      </w:r>
      <w:r>
        <w:rPr>
          <w:rFonts w:ascii="Times New Roman" w:cs="Times New Roman" w:eastAsia="Times New Roman" w:hAnsi="Times New Roman"/>
          <w:sz w:val="18"/>
          <w:szCs w:val="18"/>
          <w:i w:val="1"/>
          <w:iCs w:val="1"/>
          <w:u w:val="single" w:color="auto"/>
          <w:color w:val="auto"/>
        </w:rPr>
        <w:t>Registration Statement</w:t>
      </w:r>
      <w:r>
        <w:rPr>
          <w:rFonts w:ascii="Times New Roman" w:cs="Times New Roman" w:eastAsia="Times New Roman" w:hAnsi="Times New Roman"/>
          <w:sz w:val="18"/>
          <w:szCs w:val="18"/>
          <w:color w:val="auto"/>
        </w:rPr>
        <w:t>” in the Equity Distribution Agreement shall refer to the registration statement on Form N-2 (No. 333-292765).</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hereof, Section 5(iii) of the Equity Distribution Agreement is replaced in its entirety with the following:</w:t>
      </w:r>
    </w:p>
    <w:p>
      <w:pPr>
        <w:spacing w:after="0" w:line="225" w:lineRule="exact"/>
        <w:rPr>
          <w:rFonts w:ascii="Times New Roman" w:cs="Times New Roman" w:eastAsia="Times New Roman" w:hAnsi="Times New Roman"/>
          <w:sz w:val="18"/>
          <w:szCs w:val="18"/>
          <w:color w:val="auto"/>
        </w:rPr>
      </w:pPr>
    </w:p>
    <w:p>
      <w:pPr>
        <w:jc w:val="both"/>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and is validly existing in good standing as a corporation under the laws of the State of Maryland. The Company has full power and authority to own its property and to conduct its business as described in the Prospectus and enter into this Agreement, and is in good standing and is duly qualified to transact business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or on the earnings, business prospects or operations of the Company and the Subsidiaries (as defined below) taken as a whole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Company Material Adverse Effect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 The Company owns (i) 100% of the equity interests in Saratoga Investment Funding II LLC (“</w:t>
      </w:r>
      <w:r>
        <w:rPr>
          <w:rFonts w:ascii="Times New Roman" w:cs="Times New Roman" w:eastAsia="Times New Roman" w:hAnsi="Times New Roman"/>
          <w:sz w:val="18"/>
          <w:szCs w:val="18"/>
          <w:i w:val="1"/>
          <w:iCs w:val="1"/>
          <w:u w:val="single" w:color="auto"/>
          <w:color w:val="auto"/>
        </w:rPr>
        <w:t>SIF II</w:t>
      </w:r>
      <w:r>
        <w:rPr>
          <w:rFonts w:ascii="Times New Roman" w:cs="Times New Roman" w:eastAsia="Times New Roman" w:hAnsi="Times New Roman"/>
          <w:sz w:val="18"/>
          <w:szCs w:val="18"/>
          <w:color w:val="auto"/>
        </w:rPr>
        <w:t>”), (ii) 100% of the equity interests in Saratoga Investment Funding III LLC (“</w:t>
      </w:r>
      <w:r>
        <w:rPr>
          <w:rFonts w:ascii="Times New Roman" w:cs="Times New Roman" w:eastAsia="Times New Roman" w:hAnsi="Times New Roman"/>
          <w:sz w:val="18"/>
          <w:szCs w:val="18"/>
          <w:i w:val="1"/>
          <w:iCs w:val="1"/>
          <w:u w:val="single" w:color="auto"/>
          <w:color w:val="auto"/>
        </w:rPr>
        <w:t>SIF III</w:t>
      </w:r>
      <w:r>
        <w:rPr>
          <w:rFonts w:ascii="Times New Roman" w:cs="Times New Roman" w:eastAsia="Times New Roman" w:hAnsi="Times New Roman"/>
          <w:sz w:val="18"/>
          <w:szCs w:val="18"/>
          <w:color w:val="auto"/>
        </w:rPr>
        <w:t>”), (iii) 100% of the limited partnership interests in Saratoga Investment Corp. SBIC LP II (“</w:t>
      </w:r>
      <w:r>
        <w:rPr>
          <w:rFonts w:ascii="Times New Roman" w:cs="Times New Roman" w:eastAsia="Times New Roman" w:hAnsi="Times New Roman"/>
          <w:sz w:val="18"/>
          <w:szCs w:val="18"/>
          <w:i w:val="1"/>
          <w:iCs w:val="1"/>
          <w:u w:val="single" w:color="auto"/>
          <w:color w:val="auto"/>
        </w:rPr>
        <w:t>SBIC LP II</w:t>
      </w:r>
      <w:r>
        <w:rPr>
          <w:rFonts w:ascii="Times New Roman" w:cs="Times New Roman" w:eastAsia="Times New Roman" w:hAnsi="Times New Roman"/>
          <w:sz w:val="18"/>
          <w:szCs w:val="18"/>
          <w:color w:val="auto"/>
        </w:rPr>
        <w:t>”) and Saratoga Investment Corp. SBIC III LP (“</w:t>
      </w:r>
      <w:r>
        <w:rPr>
          <w:rFonts w:ascii="Times New Roman" w:cs="Times New Roman" w:eastAsia="Times New Roman" w:hAnsi="Times New Roman"/>
          <w:sz w:val="18"/>
          <w:szCs w:val="18"/>
          <w:i w:val="1"/>
          <w:iCs w:val="1"/>
          <w:u w:val="single" w:color="auto"/>
          <w:color w:val="auto"/>
        </w:rPr>
        <w:t>SBIC III</w:t>
      </w:r>
      <w:r>
        <w:rPr>
          <w:rFonts w:ascii="Times New Roman" w:cs="Times New Roman" w:eastAsia="Times New Roman" w:hAnsi="Times New Roman"/>
          <w:sz w:val="18"/>
          <w:szCs w:val="18"/>
          <w:color w:val="auto"/>
        </w:rPr>
        <w:t>” and, together with SBIC LP II, the “</w:t>
      </w:r>
      <w:r>
        <w:rPr>
          <w:rFonts w:ascii="Times New Roman" w:cs="Times New Roman" w:eastAsia="Times New Roman" w:hAnsi="Times New Roman"/>
          <w:sz w:val="18"/>
          <w:szCs w:val="18"/>
          <w:i w:val="1"/>
          <w:iCs w:val="1"/>
          <w:u w:val="single" w:color="auto"/>
          <w:color w:val="auto"/>
        </w:rPr>
        <w:t>SBIC Funds</w:t>
      </w:r>
      <w:r>
        <w:rPr>
          <w:rFonts w:ascii="Times New Roman" w:cs="Times New Roman" w:eastAsia="Times New Roman" w:hAnsi="Times New Roman"/>
          <w:sz w:val="18"/>
          <w:szCs w:val="18"/>
          <w:color w:val="auto"/>
        </w:rPr>
        <w:t>”), (iv) 100% of the equity interests in Saratoga Investment Corp. GP, LLC (“</w:t>
      </w:r>
      <w:r>
        <w:rPr>
          <w:rFonts w:ascii="Times New Roman" w:cs="Times New Roman" w:eastAsia="Times New Roman" w:hAnsi="Times New Roman"/>
          <w:sz w:val="18"/>
          <w:szCs w:val="18"/>
          <w:i w:val="1"/>
          <w:iCs w:val="1"/>
          <w:u w:val="single" w:color="auto"/>
          <w:color w:val="auto"/>
        </w:rPr>
        <w:t>SAR GP</w:t>
      </w:r>
      <w:r>
        <w:rPr>
          <w:rFonts w:ascii="Times New Roman" w:cs="Times New Roman" w:eastAsia="Times New Roman" w:hAnsi="Times New Roman"/>
          <w:sz w:val="18"/>
          <w:szCs w:val="18"/>
          <w:color w:val="auto"/>
        </w:rPr>
        <w:t>”), and (v) 100% of the equity interests in Saratoga Investment Corp. CLO 2013-1, Ltd. (“</w:t>
      </w:r>
      <w:r>
        <w:rPr>
          <w:rFonts w:ascii="Times New Roman" w:cs="Times New Roman" w:eastAsia="Times New Roman" w:hAnsi="Times New Roman"/>
          <w:sz w:val="18"/>
          <w:szCs w:val="18"/>
          <w:i w:val="1"/>
          <w:iCs w:val="1"/>
          <w:u w:val="single" w:color="auto"/>
          <w:color w:val="auto"/>
        </w:rPr>
        <w:t>Saratoga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CLO</w:t>
      </w:r>
      <w:r>
        <w:rPr>
          <w:rFonts w:ascii="Times New Roman" w:cs="Times New Roman" w:eastAsia="Times New Roman" w:hAnsi="Times New Roman"/>
          <w:sz w:val="18"/>
          <w:szCs w:val="18"/>
          <w:color w:val="auto"/>
        </w:rPr>
        <w:t>” and together with SIF II, SIF III, SBIC LP II, SBIC III and SAR GP, the “</w:t>
      </w:r>
      <w:r>
        <w:rPr>
          <w:rFonts w:ascii="Times New Roman" w:cs="Times New Roman" w:eastAsia="Times New Roman" w:hAnsi="Times New Roman"/>
          <w:sz w:val="18"/>
          <w:szCs w:val="18"/>
          <w:i w:val="1"/>
          <w:iCs w:val="1"/>
          <w:u w:val="single" w:color="auto"/>
          <w:color w:val="auto"/>
        </w:rPr>
        <w:t>Subsidiaries</w:t>
      </w:r>
      <w:r>
        <w:rPr>
          <w:rFonts w:ascii="Times New Roman" w:cs="Times New Roman" w:eastAsia="Times New Roman" w:hAnsi="Times New Roman"/>
          <w:sz w:val="18"/>
          <w:szCs w:val="18"/>
          <w:color w:val="auto"/>
        </w:rPr>
        <w:t>”). Other than the Subsidiaries,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consolidated subsidiaries for financial reporting purposes under U.S. generally accepted accounting principles, other than tax blocker corporations that hold equity interests in one or more portfolio companies and non-operational companies.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Company, the Adviser and the Agents by the execution of this Amendment, hereby consent to the amendments to the Equity Distribution Agreement contemplated herein. Except as set forth above, no other amendments to the Equity Distribution Agreement are intended by the parties hereto, are made, or shall be deemed to be made, pursuant to this Amendment, and all provisions of the Equity Distribution Agreement, including all exhibits thereto, unaffected by this Amendment shall remain in full force and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Amendment shall be governed by, and construed in accordance with, the laws of the State of New York, without regard to conflicts of laws principles.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capitalized term used but not defined herein shall have the meaning ascribed to such term in the Equity Distribution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may be executed in one or more counterparts, each of which shall be deemed an original but all of which together will constitute one and the same instrument.</w:t>
      </w:r>
    </w:p>
    <w:p>
      <w:pPr>
        <w:sectPr>
          <w:pgSz w:w="11900" w:h="16838" w:orient="portrait"/>
          <w:cols w:equalWidth="0" w:num="1">
            <w:col w:w="11240"/>
          </w:cols>
          <w:pgMar w:left="320" w:top="117" w:right="339" w:bottom="503"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503" w:gutter="0" w:footer="0" w:header="0"/>
          <w:type w:val="continuous"/>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so indicate in the space provided below for that purpose, whereupon this letter shall constitute a binding agreement among the Company, the Adviser and the Agents.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Henri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Henri Steenkamp</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Chief Compliance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Treasurer and Secretary</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SARATOGA INVESTMENT ADVISORS, LLC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L. Oberbeck</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Christian L. Oberbeck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5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CONFIRMED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above 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CAPITAL MARKETS, LLC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Caliva</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Caliva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LADENBURG THALMANN &amp; CO. INC.</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Dan Blood</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Co-Head of Investment Banking, Head of FIG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COMPASS POINT RESEARCH &amp; TRADING, LLC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Nealon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Nealon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Operating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JAMES &amp; ASSOCIATES, INC.</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Larry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Larry Herman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5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amp;"/>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2026-03-13T15:19:37Z</dcterms:created>
  <dcterms:modified xsi:type="dcterms:W3CDTF">2026-03-13T15:19:37Z</dcterms:modified>
</cp:coreProperties>
</file>